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9E" w:rsidRPr="009E289E" w:rsidRDefault="009E289E" w:rsidP="009E289E">
      <w:pPr>
        <w:autoSpaceDE w:val="0"/>
        <w:autoSpaceDN w:val="0"/>
        <w:adjustRightInd w:val="0"/>
        <w:jc w:val="center"/>
        <w:outlineLvl w:val="1"/>
        <w:rPr>
          <w:rFonts w:ascii="Times New Roman" w:hAnsi="Times New Roman"/>
          <w:b/>
          <w:sz w:val="28"/>
          <w:szCs w:val="28"/>
        </w:rPr>
      </w:pPr>
      <w:bookmarkStart w:id="0" w:name="_GoBack"/>
      <w:bookmarkEnd w:id="0"/>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МЕТОДИЧЕСКИЕ РЕКОМЕНДАЦИИ</w:t>
      </w: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Министерства труда и социальной защиты Российской Федерации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Москва, 2020</w:t>
      </w:r>
    </w:p>
    <w:p w:rsidR="009E289E" w:rsidRDefault="009E289E" w:rsidP="009E289E">
      <w:pPr>
        <w:jc w:val="center"/>
        <w:rPr>
          <w:rFonts w:ascii="Times New Roman" w:hAnsi="Times New Roman"/>
          <w:b/>
          <w:sz w:val="28"/>
          <w:szCs w:val="28"/>
        </w:rPr>
      </w:pPr>
      <w:r>
        <w:rPr>
          <w:noProof/>
          <w:lang w:eastAsia="ru-RU"/>
        </w:rPr>
        <w:drawing>
          <wp:inline distT="0" distB="0" distL="0" distR="0">
            <wp:extent cx="7321550" cy="1035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9" t="86461" r="48456" b="3072"/>
                    <a:stretch>
                      <a:fillRect/>
                    </a:stretch>
                  </pic:blipFill>
                  <pic:spPr bwMode="auto">
                    <a:xfrm>
                      <a:off x="0" y="0"/>
                      <a:ext cx="7321550" cy="1035050"/>
                    </a:xfrm>
                    <a:prstGeom prst="rect">
                      <a:avLst/>
                    </a:prstGeom>
                    <a:noFill/>
                    <a:ln w="9525">
                      <a:noFill/>
                      <a:miter lim="800000"/>
                      <a:headEnd/>
                      <a:tailEnd/>
                    </a:ln>
                  </pic:spPr>
                </pic:pic>
              </a:graphicData>
            </a:graphic>
          </wp:inline>
        </w:drawing>
      </w:r>
      <w:r>
        <w:rPr>
          <w:b/>
          <w:sz w:val="28"/>
          <w:szCs w:val="28"/>
        </w:rPr>
        <w:br w:type="page"/>
      </w:r>
    </w:p>
    <w:p w:rsidR="009E289E" w:rsidRDefault="009E289E" w:rsidP="009E289E">
      <w:pPr>
        <w:jc w:val="center"/>
        <w:rPr>
          <w:rFonts w:ascii="Times New Roman" w:hAnsi="Times New Roman"/>
          <w:b/>
          <w:sz w:val="28"/>
          <w:szCs w:val="28"/>
        </w:rPr>
      </w:pPr>
      <w:r w:rsidRPr="00A26908">
        <w:rPr>
          <w:rFonts w:ascii="Times New Roman" w:hAnsi="Times New Roman"/>
          <w:b/>
          <w:sz w:val="28"/>
          <w:szCs w:val="28"/>
        </w:rPr>
        <w:lastRenderedPageBreak/>
        <w:t xml:space="preserv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Pr>
          <w:rFonts w:ascii="Times New Roman" w:hAnsi="Times New Roman"/>
          <w:b/>
          <w:sz w:val="28"/>
          <w:szCs w:val="28"/>
        </w:rPr>
        <w:br/>
      </w:r>
      <w:r w:rsidRPr="00A26908">
        <w:rPr>
          <w:rFonts w:ascii="Times New Roman" w:hAnsi="Times New Roman"/>
          <w:b/>
          <w:sz w:val="28"/>
          <w:szCs w:val="28"/>
        </w:rPr>
        <w:t>в 202</w:t>
      </w:r>
      <w:r>
        <w:rPr>
          <w:rFonts w:ascii="Times New Roman" w:hAnsi="Times New Roman"/>
          <w:b/>
          <w:sz w:val="28"/>
          <w:szCs w:val="28"/>
        </w:rPr>
        <w:t>1 году (за отчетный 2020</w:t>
      </w:r>
      <w:r w:rsidRPr="00A26908">
        <w:rPr>
          <w:rFonts w:ascii="Times New Roman" w:hAnsi="Times New Roman"/>
          <w:b/>
          <w:sz w:val="28"/>
          <w:szCs w:val="28"/>
        </w:rPr>
        <w:t xml:space="preserve"> год)</w:t>
      </w:r>
    </w:p>
    <w:p w:rsidR="009E289E" w:rsidRPr="00A26908" w:rsidRDefault="009E289E" w:rsidP="009E289E">
      <w:pPr>
        <w:jc w:val="center"/>
        <w:rPr>
          <w:rFonts w:ascii="Times New Roman" w:hAnsi="Times New Roman"/>
          <w:b/>
          <w:sz w:val="28"/>
          <w:szCs w:val="28"/>
        </w:rPr>
      </w:pPr>
    </w:p>
    <w:p w:rsidR="009E289E" w:rsidRDefault="009E289E" w:rsidP="009E289E">
      <w:pPr>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 xml:space="preserve">Методических рекомендаций по вопросам представления сведений </w:t>
      </w:r>
      <w:r>
        <w:rPr>
          <w:rFonts w:ascii="Times New Roman" w:hAnsi="Times New Roman"/>
          <w:sz w:val="28"/>
          <w:szCs w:val="28"/>
        </w:rPr>
        <w:br/>
      </w:r>
      <w:r w:rsidRPr="001532B9">
        <w:rPr>
          <w:rFonts w:ascii="Times New Roman" w:hAnsi="Times New Roman"/>
          <w:sz w:val="28"/>
          <w:szCs w:val="28"/>
        </w:rPr>
        <w:t xml:space="preserve">о доходах, расходах, об имуществе и обязательствах имущественного характера </w:t>
      </w:r>
      <w:r>
        <w:rPr>
          <w:rFonts w:ascii="Times New Roman" w:hAnsi="Times New Roman"/>
          <w:sz w:val="28"/>
          <w:szCs w:val="28"/>
        </w:rPr>
        <w:br/>
      </w:r>
      <w:r w:rsidRPr="001532B9">
        <w:rPr>
          <w:rFonts w:ascii="Times New Roman" w:hAnsi="Times New Roman"/>
          <w:sz w:val="28"/>
          <w:szCs w:val="28"/>
        </w:rPr>
        <w:t>и заполнения соответствующей формы справки</w:t>
      </w:r>
      <w:r>
        <w:rPr>
          <w:rFonts w:ascii="Times New Roman" w:hAnsi="Times New Roman"/>
          <w:sz w:val="28"/>
          <w:szCs w:val="28"/>
        </w:rPr>
        <w:t xml:space="preserve">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9E289E" w:rsidRDefault="009E289E" w:rsidP="009E289E">
      <w:pPr>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2021 года (за отчетный 2020 год) подготовлены Министерством </w:t>
      </w:r>
      <w:r>
        <w:rPr>
          <w:rFonts w:ascii="Times New Roman" w:hAnsi="Times New Roman"/>
          <w:sz w:val="28"/>
          <w:szCs w:val="28"/>
        </w:rPr>
        <w:br/>
        <w:t xml:space="preserve">при участии Администрации Президента Российской Федерации, Центрального банка Российской Федерации, Генеральной прокуратуры Российской Федерации </w:t>
      </w:r>
      <w:r>
        <w:rPr>
          <w:rFonts w:ascii="Times New Roman" w:hAnsi="Times New Roman"/>
          <w:sz w:val="28"/>
          <w:szCs w:val="28"/>
        </w:rPr>
        <w:br/>
        <w:t>и иных заинтересованных федеральных государственных органов.</w:t>
      </w:r>
    </w:p>
    <w:p w:rsidR="009E289E" w:rsidRDefault="009E289E" w:rsidP="009E289E">
      <w:pPr>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6 Методических рекомендаций отмечено, что участие </w:t>
      </w:r>
      <w:r w:rsidRPr="00B2646A">
        <w:rPr>
          <w:rFonts w:ascii="Times New Roman" w:hAnsi="Times New Roman"/>
          <w:sz w:val="28"/>
          <w:szCs w:val="28"/>
        </w:rPr>
        <w:t>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w:t>
      </w:r>
      <w:r>
        <w:rPr>
          <w:rFonts w:ascii="Times New Roman" w:hAnsi="Times New Roman"/>
          <w:sz w:val="28"/>
          <w:szCs w:val="28"/>
        </w:rPr>
        <w:t>, так как такие сведения представляются при назначении.</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 13 Методических рекомендаций дополнен абзацем, конкретизирующим, что юридически значимым является перечень должностей, действующий на 31 декабря 2020 года.</w:t>
      </w:r>
    </w:p>
    <w:p w:rsidR="009E289E" w:rsidRDefault="009E289E" w:rsidP="009E289E">
      <w:pPr>
        <w:pStyle w:val="aa"/>
        <w:numPr>
          <w:ilvl w:val="0"/>
          <w:numId w:val="24"/>
        </w:numPr>
        <w:ind w:left="0" w:firstLine="709"/>
        <w:rPr>
          <w:rFonts w:ascii="Times New Roman" w:hAnsi="Times New Roman"/>
          <w:sz w:val="28"/>
          <w:szCs w:val="28"/>
        </w:rPr>
      </w:pPr>
      <w:r w:rsidRPr="00B2646A">
        <w:rPr>
          <w:rFonts w:ascii="Times New Roman" w:hAnsi="Times New Roman"/>
          <w:sz w:val="28"/>
          <w:szCs w:val="28"/>
        </w:rPr>
        <w:t xml:space="preserve">Сведения, представленные в период декларационной кампании </w:t>
      </w:r>
      <w:r>
        <w:rPr>
          <w:rFonts w:ascii="Times New Roman" w:hAnsi="Times New Roman"/>
          <w:sz w:val="28"/>
          <w:szCs w:val="28"/>
        </w:rPr>
        <w:t>лицом</w:t>
      </w:r>
      <w:r w:rsidRPr="00B2646A">
        <w:rPr>
          <w:rFonts w:ascii="Times New Roman" w:hAnsi="Times New Roman"/>
          <w:sz w:val="28"/>
          <w:szCs w:val="28"/>
        </w:rPr>
        <w:t>,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r>
        <w:rPr>
          <w:rFonts w:ascii="Times New Roman" w:hAnsi="Times New Roman"/>
          <w:sz w:val="28"/>
          <w:szCs w:val="28"/>
        </w:rPr>
        <w:t xml:space="preserve"> (пункт 15 Методических рекомендаций).</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Методические рекомендации обновлены с учетом положений Указа </w:t>
      </w:r>
      <w:r w:rsidRPr="00B2646A">
        <w:rPr>
          <w:rFonts w:ascii="Times New Roman" w:hAnsi="Times New Roman"/>
          <w:sz w:val="28"/>
          <w:szCs w:val="28"/>
        </w:rPr>
        <w:t>Президента Р</w:t>
      </w:r>
      <w:r>
        <w:rPr>
          <w:rFonts w:ascii="Times New Roman" w:hAnsi="Times New Roman"/>
          <w:sz w:val="28"/>
          <w:szCs w:val="28"/>
        </w:rPr>
        <w:t xml:space="preserve">оссийской </w:t>
      </w:r>
      <w:r w:rsidRPr="00B2646A">
        <w:rPr>
          <w:rFonts w:ascii="Times New Roman" w:hAnsi="Times New Roman"/>
          <w:sz w:val="28"/>
          <w:szCs w:val="28"/>
        </w:rPr>
        <w:t>Ф</w:t>
      </w:r>
      <w:r>
        <w:rPr>
          <w:rFonts w:ascii="Times New Roman" w:hAnsi="Times New Roman"/>
          <w:sz w:val="28"/>
          <w:szCs w:val="28"/>
        </w:rPr>
        <w:t>едерации</w:t>
      </w:r>
      <w:r w:rsidRPr="00B2646A">
        <w:rPr>
          <w:rFonts w:ascii="Times New Roman" w:hAnsi="Times New Roman"/>
          <w:sz w:val="28"/>
          <w:szCs w:val="28"/>
        </w:rPr>
        <w:t xml:space="preserve"> от 15</w:t>
      </w:r>
      <w:r>
        <w:rPr>
          <w:rFonts w:ascii="Times New Roman" w:hAnsi="Times New Roman"/>
          <w:sz w:val="28"/>
          <w:szCs w:val="28"/>
        </w:rPr>
        <w:t xml:space="preserve"> января </w:t>
      </w:r>
      <w:r w:rsidRPr="00B2646A">
        <w:rPr>
          <w:rFonts w:ascii="Times New Roman" w:hAnsi="Times New Roman"/>
          <w:sz w:val="28"/>
          <w:szCs w:val="28"/>
        </w:rPr>
        <w:t>2020</w:t>
      </w:r>
      <w:r>
        <w:rPr>
          <w:rFonts w:ascii="Times New Roman" w:hAnsi="Times New Roman"/>
          <w:sz w:val="28"/>
          <w:szCs w:val="28"/>
        </w:rPr>
        <w:t xml:space="preserve"> г.</w:t>
      </w:r>
      <w:r w:rsidRPr="00B2646A">
        <w:rPr>
          <w:rFonts w:ascii="Times New Roman" w:hAnsi="Times New Roman"/>
          <w:sz w:val="28"/>
          <w:szCs w:val="28"/>
        </w:rPr>
        <w:t xml:space="preserve"> </w:t>
      </w:r>
      <w:r>
        <w:rPr>
          <w:rFonts w:ascii="Times New Roman" w:hAnsi="Times New Roman"/>
          <w:sz w:val="28"/>
          <w:szCs w:val="28"/>
        </w:rPr>
        <w:t>№</w:t>
      </w:r>
      <w:r w:rsidRPr="00B2646A">
        <w:rPr>
          <w:rFonts w:ascii="Times New Roman" w:hAnsi="Times New Roman"/>
          <w:sz w:val="28"/>
          <w:szCs w:val="28"/>
        </w:rPr>
        <w:t xml:space="preserve"> 13 "О внесении изменений в некоторые акты Президента Российской Федерации"</w:t>
      </w:r>
      <w:r>
        <w:rPr>
          <w:rFonts w:ascii="Times New Roman" w:hAnsi="Times New Roman"/>
          <w:sz w:val="28"/>
          <w:szCs w:val="28"/>
        </w:rPr>
        <w:t xml:space="preserve"> (необходимость использования СПО "Справки БК", предоставления СНИЛС).</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подпункте 3 пункта 60 Методических рекомендаций отмечено, </w:t>
      </w:r>
      <w:r>
        <w:rPr>
          <w:rFonts w:ascii="Times New Roman" w:hAnsi="Times New Roman"/>
          <w:sz w:val="28"/>
          <w:szCs w:val="28"/>
        </w:rPr>
        <w:br/>
        <w:t xml:space="preserve">что пособие </w:t>
      </w:r>
      <w:r w:rsidRPr="00B2646A">
        <w:rPr>
          <w:rFonts w:ascii="Times New Roman" w:hAnsi="Times New Roman"/>
          <w:sz w:val="28"/>
          <w:szCs w:val="28"/>
        </w:rPr>
        <w:t>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w:t>
      </w:r>
      <w:r>
        <w:rPr>
          <w:rFonts w:ascii="Times New Roman" w:hAnsi="Times New Roman"/>
          <w:sz w:val="28"/>
          <w:szCs w:val="28"/>
        </w:rPr>
        <w:t xml:space="preserve">. Таким образом, необходимую информацию можно получить посредством обращения в </w:t>
      </w:r>
      <w:r w:rsidRPr="00B2646A">
        <w:rPr>
          <w:rFonts w:ascii="Times New Roman" w:hAnsi="Times New Roman"/>
          <w:sz w:val="28"/>
          <w:szCs w:val="28"/>
        </w:rPr>
        <w:t>Фонд социального страхования Российской Федерации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lastRenderedPageBreak/>
        <w:t xml:space="preserve">Подпункт 9 пункта 60 Методических рекомендаций дополнен </w:t>
      </w:r>
      <w:r w:rsidRPr="009F3A1C">
        <w:rPr>
          <w:rFonts w:ascii="Times New Roman" w:hAnsi="Times New Roman"/>
          <w:sz w:val="28"/>
          <w:szCs w:val="28"/>
        </w:rPr>
        <w:t>ситуаци</w:t>
      </w:r>
      <w:r>
        <w:rPr>
          <w:rFonts w:ascii="Times New Roman" w:hAnsi="Times New Roman"/>
          <w:sz w:val="28"/>
          <w:szCs w:val="28"/>
        </w:rPr>
        <w:t>ей</w:t>
      </w:r>
      <w:r w:rsidRPr="009F3A1C">
        <w:rPr>
          <w:rFonts w:ascii="Times New Roman" w:hAnsi="Times New Roman"/>
          <w:sz w:val="28"/>
          <w:szCs w:val="28"/>
        </w:rPr>
        <w:t xml:space="preserve"> продажи имущества, находящегося в долевой собственности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Также Методические рекомендации дополнены пунктами 61 и 65, касающимися мер социальной и иной поддержки, оказанной в связи </w:t>
      </w:r>
      <w:r>
        <w:rPr>
          <w:rFonts w:ascii="Times New Roman" w:hAnsi="Times New Roman"/>
          <w:sz w:val="28"/>
          <w:szCs w:val="28"/>
        </w:rPr>
        <w:br/>
        <w:t xml:space="preserve">с </w:t>
      </w:r>
      <w:r w:rsidRPr="009F3A1C">
        <w:rPr>
          <w:rFonts w:ascii="Times New Roman" w:hAnsi="Times New Roman"/>
          <w:sz w:val="28"/>
          <w:szCs w:val="28"/>
        </w:rPr>
        <w:t>распространени</w:t>
      </w:r>
      <w:r>
        <w:rPr>
          <w:rFonts w:ascii="Times New Roman" w:hAnsi="Times New Roman"/>
          <w:sz w:val="28"/>
          <w:szCs w:val="28"/>
        </w:rPr>
        <w:t>ем</w:t>
      </w:r>
      <w:r w:rsidRPr="009F3A1C">
        <w:rPr>
          <w:rFonts w:ascii="Times New Roman" w:hAnsi="Times New Roman"/>
          <w:sz w:val="28"/>
          <w:szCs w:val="28"/>
        </w:rPr>
        <w:t xml:space="preserve"> новой коронавирусной инфекции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Пункты 69 и 72 Методических рекомендаций дополнены ситуациями, при которых сведения о расходах не отражаются.</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119 Методических рекомендациях указано, что </w:t>
      </w:r>
      <w:r w:rsidRPr="009F3A1C">
        <w:rPr>
          <w:rFonts w:ascii="Times New Roman" w:hAnsi="Times New Roman"/>
          <w:sz w:val="28"/>
          <w:szCs w:val="28"/>
        </w:rPr>
        <w:t>Банком России издано Указание от 15 апреля 2020 г. № 5440-У</w:t>
      </w:r>
      <w:r>
        <w:rPr>
          <w:rFonts w:ascii="Times New Roman" w:hAnsi="Times New Roman"/>
          <w:sz w:val="28"/>
          <w:szCs w:val="28"/>
        </w:rPr>
        <w:t xml:space="preserve">. Полагаем целесообразным ориентировать на получение информации  для целей представления сведений </w:t>
      </w:r>
      <w:r>
        <w:rPr>
          <w:rFonts w:ascii="Times New Roman" w:hAnsi="Times New Roman"/>
          <w:sz w:val="28"/>
          <w:szCs w:val="28"/>
        </w:rPr>
        <w:br/>
        <w:t>в соответствии с данным Указанием Банка России.</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Методические рекомендации дополнены разделом "П</w:t>
      </w:r>
      <w:r w:rsidRPr="00C332A9">
        <w:rPr>
          <w:rFonts w:ascii="Times New Roman" w:hAnsi="Times New Roman"/>
          <w:sz w:val="28"/>
          <w:szCs w:val="28"/>
        </w:rPr>
        <w:t>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r>
        <w:rPr>
          <w:rFonts w:ascii="Times New Roman" w:hAnsi="Times New Roman"/>
          <w:sz w:val="28"/>
          <w:szCs w:val="28"/>
        </w:rPr>
        <w:t xml:space="preserve">", раскрывающим содержание положений Указа </w:t>
      </w:r>
      <w:r w:rsidRPr="00C332A9">
        <w:rPr>
          <w:rFonts w:ascii="Times New Roman" w:hAnsi="Times New Roman"/>
          <w:sz w:val="28"/>
          <w:szCs w:val="28"/>
        </w:rPr>
        <w:t>Президента Р</w:t>
      </w:r>
      <w:r>
        <w:rPr>
          <w:rFonts w:ascii="Times New Roman" w:hAnsi="Times New Roman"/>
          <w:sz w:val="28"/>
          <w:szCs w:val="28"/>
        </w:rPr>
        <w:t xml:space="preserve">оссийской </w:t>
      </w:r>
      <w:r w:rsidRPr="00C332A9">
        <w:rPr>
          <w:rFonts w:ascii="Times New Roman" w:hAnsi="Times New Roman"/>
          <w:sz w:val="28"/>
          <w:szCs w:val="28"/>
        </w:rPr>
        <w:t>Ф</w:t>
      </w:r>
      <w:r>
        <w:rPr>
          <w:rFonts w:ascii="Times New Roman" w:hAnsi="Times New Roman"/>
          <w:sz w:val="28"/>
          <w:szCs w:val="28"/>
        </w:rPr>
        <w:t>едерации</w:t>
      </w:r>
      <w:r w:rsidRPr="00C332A9">
        <w:rPr>
          <w:rFonts w:ascii="Times New Roman" w:hAnsi="Times New Roman"/>
          <w:sz w:val="28"/>
          <w:szCs w:val="28"/>
        </w:rPr>
        <w:t xml:space="preserve"> </w:t>
      </w:r>
      <w:r>
        <w:rPr>
          <w:rFonts w:ascii="Times New Roman" w:hAnsi="Times New Roman"/>
          <w:sz w:val="28"/>
          <w:szCs w:val="28"/>
        </w:rPr>
        <w:br/>
      </w:r>
      <w:r w:rsidRPr="00C332A9">
        <w:rPr>
          <w:rFonts w:ascii="Times New Roman" w:hAnsi="Times New Roman"/>
          <w:sz w:val="28"/>
          <w:szCs w:val="28"/>
        </w:rPr>
        <w:t>от 10</w:t>
      </w:r>
      <w:r>
        <w:rPr>
          <w:rFonts w:ascii="Times New Roman" w:hAnsi="Times New Roman"/>
          <w:sz w:val="28"/>
          <w:szCs w:val="28"/>
        </w:rPr>
        <w:t xml:space="preserve"> декабря </w:t>
      </w:r>
      <w:r w:rsidRPr="00C332A9">
        <w:rPr>
          <w:rFonts w:ascii="Times New Roman" w:hAnsi="Times New Roman"/>
          <w:sz w:val="28"/>
          <w:szCs w:val="28"/>
        </w:rPr>
        <w:t>2020</w:t>
      </w:r>
      <w:r>
        <w:rPr>
          <w:rFonts w:ascii="Times New Roman" w:hAnsi="Times New Roman"/>
          <w:sz w:val="28"/>
          <w:szCs w:val="28"/>
        </w:rPr>
        <w:t xml:space="preserve"> г.</w:t>
      </w:r>
      <w:r w:rsidRPr="00C332A9">
        <w:rPr>
          <w:rFonts w:ascii="Times New Roman" w:hAnsi="Times New Roman"/>
          <w:sz w:val="28"/>
          <w:szCs w:val="28"/>
        </w:rPr>
        <w:t xml:space="preserve"> </w:t>
      </w:r>
      <w:r>
        <w:rPr>
          <w:rFonts w:ascii="Times New Roman" w:hAnsi="Times New Roman"/>
          <w:sz w:val="28"/>
          <w:szCs w:val="28"/>
        </w:rPr>
        <w:t>№</w:t>
      </w:r>
      <w:r w:rsidRPr="00C332A9">
        <w:rPr>
          <w:rFonts w:ascii="Times New Roman" w:hAnsi="Times New Roman"/>
          <w:sz w:val="28"/>
          <w:szCs w:val="28"/>
        </w:rPr>
        <w:t xml:space="preserve"> 778 "О мерах по реализации отдельных положений Федерального закона "О цифровых финансовых активах, цифровой валюте </w:t>
      </w:r>
      <w:r>
        <w:rPr>
          <w:rFonts w:ascii="Times New Roman" w:hAnsi="Times New Roman"/>
          <w:sz w:val="28"/>
          <w:szCs w:val="28"/>
        </w:rPr>
        <w:br/>
      </w:r>
      <w:r w:rsidRPr="00C332A9">
        <w:rPr>
          <w:rFonts w:ascii="Times New Roman" w:hAnsi="Times New Roman"/>
          <w:sz w:val="28"/>
          <w:szCs w:val="28"/>
        </w:rPr>
        <w:t>и о внесении изменений в отдельные законодательные акты Российской Федерации"</w:t>
      </w:r>
      <w:r>
        <w:rPr>
          <w:rFonts w:ascii="Times New Roman" w:hAnsi="Times New Roman"/>
          <w:sz w:val="28"/>
          <w:szCs w:val="28"/>
        </w:rPr>
        <w:t>.</w:t>
      </w:r>
    </w:p>
    <w:p w:rsidR="00FA1E35" w:rsidRPr="009E289E" w:rsidRDefault="009E289E" w:rsidP="009E289E">
      <w:pPr>
        <w:pStyle w:val="aa"/>
        <w:numPr>
          <w:ilvl w:val="0"/>
          <w:numId w:val="24"/>
        </w:numPr>
        <w:ind w:left="0" w:firstLine="709"/>
        <w:rPr>
          <w:rFonts w:ascii="Times New Roman" w:hAnsi="Times New Roman"/>
          <w:sz w:val="28"/>
          <w:szCs w:val="28"/>
        </w:rPr>
      </w:pPr>
      <w:r w:rsidRPr="009E289E">
        <w:rPr>
          <w:rFonts w:ascii="Times New Roman" w:hAnsi="Times New Roman"/>
          <w:sz w:val="28"/>
          <w:szCs w:val="28"/>
        </w:rPr>
        <w:t xml:space="preserve">Положения Методических рекомендаций в целом актуализированы </w:t>
      </w:r>
      <w:r w:rsidRPr="009E289E">
        <w:rPr>
          <w:rFonts w:ascii="Times New Roman" w:hAnsi="Times New Roman"/>
          <w:sz w:val="28"/>
          <w:szCs w:val="28"/>
        </w:rPr>
        <w:br/>
        <w:t>с учетом изменений нормативных правовых актов Российской Федерации.</w:t>
      </w:r>
    </w:p>
    <w:p w:rsidR="009E289E" w:rsidRDefault="009E289E">
      <w:pPr>
        <w:ind w:firstLine="0"/>
        <w:jc w:val="left"/>
        <w:rPr>
          <w:rFonts w:ascii="Times New Roman" w:hAnsi="Times New Roman"/>
          <w:b/>
          <w:sz w:val="28"/>
          <w:szCs w:val="28"/>
        </w:rPr>
      </w:pPr>
      <w:r>
        <w:rPr>
          <w:rFonts w:ascii="Times New Roman" w:hAnsi="Times New Roman"/>
          <w:b/>
          <w:sz w:val="28"/>
          <w:szCs w:val="28"/>
        </w:rPr>
        <w:br w:type="page"/>
      </w: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lastRenderedPageBreak/>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10"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2"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7"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8"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9"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20"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2"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3"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5"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9E289E">
      <w:headerReference w:type="default" r:id="rId31"/>
      <w:pgSz w:w="11906" w:h="16838"/>
      <w:pgMar w:top="1134" w:right="567" w:bottom="1134" w:left="1134" w:header="426"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BE" w:rsidRDefault="00C43EBE" w:rsidP="00204BB5">
      <w:r>
        <w:separator/>
      </w:r>
    </w:p>
  </w:endnote>
  <w:endnote w:type="continuationSeparator" w:id="0">
    <w:p w:rsidR="00C43EBE" w:rsidRDefault="00C43EB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BE" w:rsidRDefault="00C43EBE" w:rsidP="00204BB5">
      <w:r>
        <w:separator/>
      </w:r>
    </w:p>
  </w:footnote>
  <w:footnote w:type="continuationSeparator" w:id="0">
    <w:p w:rsidR="00C43EBE" w:rsidRDefault="00C43EB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073E44">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97B32">
      <w:rPr>
        <w:rFonts w:ascii="Times New Roman" w:hAnsi="Times New Roman"/>
        <w:noProof/>
        <w:sz w:val="28"/>
        <w:szCs w:val="28"/>
      </w:rPr>
      <w:t>54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5"/>
  </w:num>
  <w:num w:numId="3">
    <w:abstractNumId w:val="11"/>
  </w:num>
  <w:num w:numId="4">
    <w:abstractNumId w:val="4"/>
  </w:num>
  <w:num w:numId="5">
    <w:abstractNumId w:val="14"/>
  </w:num>
  <w:num w:numId="6">
    <w:abstractNumId w:val="5"/>
  </w:num>
  <w:num w:numId="7">
    <w:abstractNumId w:val="2"/>
  </w:num>
  <w:num w:numId="8">
    <w:abstractNumId w:val="10"/>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
  </w:num>
  <w:num w:numId="22">
    <w:abstractNumId w:val="6"/>
  </w:num>
  <w:num w:numId="23">
    <w:abstractNumId w:val="12"/>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3E44"/>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E64AE"/>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289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3EBE"/>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97B32"/>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www.nalog.ru/rn77/related_activities/accounting/bank_accou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www.gibdd.ru/r/77/contacts/div1145039/"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cbr.ru/currency_bas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66/contacts/div1165043/" TargetMode="External"/><Relationship Id="rId27" Type="http://schemas.openxmlformats.org/officeDocument/2006/relationships/hyperlink" Target="https://www.cbr.ru/currency_base/daily/" TargetMode="External"/><Relationship Id="rId30" Type="http://schemas.openxmlformats.org/officeDocument/2006/relationships/hyperlink" Target="http://www.cbr.ru/finm_infrastructure/op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5A932E1-BCCD-40A7-8A00-03B4AE8E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21948</Words>
  <Characters>125110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146765</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79630873330</cp:lastModifiedBy>
  <cp:revision>2</cp:revision>
  <cp:lastPrinted>2020-12-24T15:48:00Z</cp:lastPrinted>
  <dcterms:created xsi:type="dcterms:W3CDTF">2021-11-14T11:28:00Z</dcterms:created>
  <dcterms:modified xsi:type="dcterms:W3CDTF">2021-11-14T11:28:00Z</dcterms:modified>
</cp:coreProperties>
</file>